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81" w:rsidRPr="009B0EA5" w:rsidRDefault="00323239" w:rsidP="003B5BC7">
      <w:pPr>
        <w:spacing w:after="120"/>
        <w:jc w:val="center"/>
      </w:pPr>
      <w:r>
        <w:t xml:space="preserve">(Rapor No: </w:t>
      </w:r>
      <w:proofErr w:type="gramStart"/>
      <w:r>
        <w:t>…..</w:t>
      </w:r>
      <w:proofErr w:type="gramEnd"/>
      <w:r w:rsidR="00214781" w:rsidRPr="009B0EA5">
        <w:t>/….) (Yıl/No)</w:t>
      </w:r>
      <w:bookmarkStart w:id="0" w:name="_GoBack"/>
      <w:bookmarkEnd w:id="0"/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5"/>
        <w:gridCol w:w="7371"/>
      </w:tblGrid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Harcama Birimi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Bütçe Tertibi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İhale Türü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İhale Kayıt No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İşin Adı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Yaklaşık Maliyeti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Ön Yeterlilik/İhale Tarihi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İhale Bedeli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En Avantajlı 1. Teklif Sahibi</w:t>
            </w:r>
          </w:p>
        </w:tc>
        <w:tc>
          <w:tcPr>
            <w:tcW w:w="7371" w:type="dxa"/>
            <w:shd w:val="clear" w:color="auto" w:fill="auto"/>
          </w:tcPr>
          <w:p w:rsidR="00102BAA" w:rsidRPr="005C7F8D" w:rsidRDefault="00102BAA" w:rsidP="002B6BA1">
            <w:pPr>
              <w:spacing w:before="120" w:after="120"/>
            </w:pPr>
          </w:p>
        </w:tc>
      </w:tr>
      <w:tr w:rsidR="00102BAA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102BAA" w:rsidRPr="009B0EA5" w:rsidRDefault="00102BAA" w:rsidP="00020D1F">
            <w:pPr>
              <w:rPr>
                <w:sz w:val="22"/>
                <w:szCs w:val="22"/>
              </w:rPr>
            </w:pPr>
            <w:r w:rsidRPr="009B0EA5">
              <w:rPr>
                <w:sz w:val="22"/>
                <w:szCs w:val="22"/>
              </w:rPr>
              <w:t>En Avantajlı 2. Teklif Sahibi</w:t>
            </w:r>
          </w:p>
        </w:tc>
        <w:tc>
          <w:tcPr>
            <w:tcW w:w="7371" w:type="dxa"/>
            <w:shd w:val="clear" w:color="auto" w:fill="auto"/>
          </w:tcPr>
          <w:p w:rsidR="00102BAA" w:rsidRPr="009B0EA5" w:rsidRDefault="00102BAA">
            <w:pPr>
              <w:rPr>
                <w:sz w:val="22"/>
                <w:szCs w:val="22"/>
              </w:rPr>
            </w:pPr>
          </w:p>
        </w:tc>
      </w:tr>
    </w:tbl>
    <w:p w:rsidR="009C087E" w:rsidRPr="00020D1F" w:rsidRDefault="00571C52" w:rsidP="00492DBD">
      <w:pPr>
        <w:spacing w:before="60" w:after="60"/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"/>
        <w:gridCol w:w="1701"/>
        <w:gridCol w:w="8221"/>
        <w:gridCol w:w="28"/>
      </w:tblGrid>
      <w:tr w:rsidR="00C148DA" w:rsidRPr="00020D1F" w:rsidTr="00492DBD">
        <w:trPr>
          <w:gridAfter w:val="1"/>
          <w:wAfter w:w="28" w:type="dxa"/>
          <w:trHeight w:val="410"/>
        </w:trPr>
        <w:tc>
          <w:tcPr>
            <w:tcW w:w="418" w:type="dxa"/>
            <w:vMerge w:val="restart"/>
            <w:shd w:val="clear" w:color="auto" w:fill="auto"/>
          </w:tcPr>
          <w:p w:rsidR="00C148DA" w:rsidRPr="00020D1F" w:rsidRDefault="00C148DA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8221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</w:pPr>
          </w:p>
        </w:tc>
      </w:tr>
      <w:tr w:rsidR="00C148D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148DA" w:rsidRPr="009B0EA5" w:rsidRDefault="00C148DA" w:rsidP="00ED41F1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8221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  <w:jc w:val="both"/>
            </w:pPr>
          </w:p>
        </w:tc>
      </w:tr>
      <w:tr w:rsidR="00C148D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148DA" w:rsidRPr="00020D1F" w:rsidRDefault="00C148DA" w:rsidP="009B0EA5">
            <w:pPr>
              <w:spacing w:before="60"/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8221" w:type="dxa"/>
            <w:shd w:val="clear" w:color="auto" w:fill="auto"/>
          </w:tcPr>
          <w:p w:rsidR="00C148DA" w:rsidRPr="009B0EA5" w:rsidRDefault="00C148DA" w:rsidP="009B0EA5">
            <w:pPr>
              <w:pStyle w:val="3-NormalYaz"/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C148D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8221" w:type="dxa"/>
            <w:shd w:val="clear" w:color="auto" w:fill="auto"/>
          </w:tcPr>
          <w:p w:rsidR="00C148DA" w:rsidRPr="009956AA" w:rsidRDefault="00C148DA" w:rsidP="00C148DA">
            <w:pPr>
              <w:spacing w:before="60" w:after="60"/>
              <w:jc w:val="both"/>
            </w:pPr>
          </w:p>
        </w:tc>
      </w:tr>
      <w:tr w:rsidR="00C61B68" w:rsidRPr="00020D1F" w:rsidTr="00CE6EB3">
        <w:trPr>
          <w:gridAfter w:val="1"/>
          <w:wAfter w:w="28" w:type="dxa"/>
          <w:trHeight w:val="542"/>
        </w:trPr>
        <w:tc>
          <w:tcPr>
            <w:tcW w:w="418" w:type="dxa"/>
            <w:vMerge w:val="restart"/>
            <w:shd w:val="clear" w:color="auto" w:fill="auto"/>
          </w:tcPr>
          <w:p w:rsidR="00C61B68" w:rsidRPr="00C61B68" w:rsidRDefault="00C61B68" w:rsidP="00C61B68">
            <w:pPr>
              <w:rPr>
                <w:b/>
              </w:rPr>
            </w:pPr>
            <w:r w:rsidRPr="00C61B68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61B68" w:rsidRPr="009B0EA5" w:rsidRDefault="00C61B68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8221" w:type="dxa"/>
            <w:shd w:val="clear" w:color="auto" w:fill="auto"/>
          </w:tcPr>
          <w:p w:rsidR="00C61B68" w:rsidRPr="005C7F8D" w:rsidRDefault="00C61B68" w:rsidP="00C148D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9B0EA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C61B68">
        <w:trPr>
          <w:gridAfter w:val="1"/>
          <w:wAfter w:w="28" w:type="dxa"/>
          <w:trHeight w:val="792"/>
        </w:trPr>
        <w:tc>
          <w:tcPr>
            <w:tcW w:w="418" w:type="dxa"/>
            <w:vMerge w:val="restart"/>
            <w:shd w:val="clear" w:color="auto" w:fill="auto"/>
          </w:tcPr>
          <w:p w:rsidR="00726D0A" w:rsidRPr="00C61B68" w:rsidRDefault="00726D0A" w:rsidP="00C61B68">
            <w:pPr>
              <w:rPr>
                <w:b/>
              </w:rPr>
            </w:pPr>
            <w:r w:rsidRPr="00C61B68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492DBD">
        <w:trPr>
          <w:gridAfter w:val="1"/>
          <w:wAfter w:w="28" w:type="dxa"/>
          <w:trHeight w:val="792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6D0A" w:rsidRPr="009B0EA5" w:rsidRDefault="00726D0A" w:rsidP="009574AF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8221" w:type="dxa"/>
            <w:shd w:val="clear" w:color="auto" w:fill="auto"/>
          </w:tcPr>
          <w:p w:rsidR="00726D0A" w:rsidRPr="005C7F8D" w:rsidRDefault="00726D0A" w:rsidP="002B6BA1">
            <w:pPr>
              <w:spacing w:before="120" w:after="120" w:line="276" w:lineRule="auto"/>
              <w:jc w:val="both"/>
            </w:pPr>
          </w:p>
        </w:tc>
      </w:tr>
      <w:tr w:rsidR="00726D0A" w:rsidRPr="00020D1F" w:rsidTr="00492DBD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10368" w:type="dxa"/>
            <w:gridSpan w:val="4"/>
          </w:tcPr>
          <w:p w:rsidR="00726D0A" w:rsidRPr="009B0EA5" w:rsidRDefault="00726D0A" w:rsidP="008207D4">
            <w:pPr>
              <w:spacing w:before="120" w:after="120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 w:rsidRPr="009B0EA5">
              <w:rPr>
                <w:b/>
                <w:sz w:val="22"/>
                <w:szCs w:val="22"/>
              </w:rPr>
              <w:t>ENEL DEĞERLENDİRME</w:t>
            </w:r>
          </w:p>
        </w:tc>
      </w:tr>
      <w:tr w:rsidR="00726D0A" w:rsidRPr="00020D1F" w:rsidTr="00492DBD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10368" w:type="dxa"/>
            <w:gridSpan w:val="4"/>
          </w:tcPr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A-)  İHALE KARARININ TEBLİĞİ, SÖZLEŞMENİN İMZALANMASI VE ÖDEME AŞAMASINDA AŞAĞIDAKİ HUSUSLARA DİKKAT EDİLMESİ ÖNERİLMEKTEDİR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6"/>
              </w:numPr>
              <w:tabs>
                <w:tab w:val="left" w:pos="306"/>
              </w:tabs>
              <w:spacing w:before="120" w:after="120"/>
              <w:ind w:left="22" w:firstLine="0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Yürürlükte olan Damga Vergisi Kanunu ve Tebliğlerinde belirtilen oranlarda yüklenici firma tarafından;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İhale</w:t>
            </w:r>
            <w:r w:rsidRPr="009B0EA5">
              <w:rPr>
                <w:sz w:val="22"/>
                <w:szCs w:val="22"/>
              </w:rPr>
              <w:t xml:space="preserve"> </w:t>
            </w:r>
            <w:r w:rsidRPr="009B0EA5">
              <w:rPr>
                <w:bCs/>
                <w:sz w:val="22"/>
                <w:szCs w:val="22"/>
              </w:rPr>
              <w:t>kararına yönelik damga vergisinin zamanında ödenmesinin sağlanması.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Sözleşmeye İlişkin Damga Vergisinin tahsil edilmesinin sağlanması.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2.</w:t>
            </w:r>
            <w:r w:rsidRPr="009B0EA5">
              <w:rPr>
                <w:bCs/>
                <w:sz w:val="22"/>
                <w:szCs w:val="22"/>
              </w:rPr>
              <w:t xml:space="preserve"> Kamu İhale Kurum Payı:  4734 sayılı Kanun kapsamında yapılan ve Kanunda belirtilen miktarı aşan sözleşmelerde yüklenici tarafından ödenmesi gereken sözleşme bedelinin </w:t>
            </w:r>
            <w:proofErr w:type="spellStart"/>
            <w:r w:rsidRPr="009B0EA5">
              <w:rPr>
                <w:bCs/>
                <w:sz w:val="22"/>
                <w:szCs w:val="22"/>
              </w:rPr>
              <w:t>onbinde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beşi tutarındaki Kamu İhale Kurum payının Kurum hesabına yattığına dair makbuzun sözleşme imzalanmadan önce alınması hususuna dikkat edilmesi önerilmektedir.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strike/>
                <w:sz w:val="22"/>
                <w:szCs w:val="22"/>
                <w:lang w:eastAsia="zh-CN"/>
              </w:rPr>
            </w:pPr>
            <w:r w:rsidRPr="009B0EA5">
              <w:rPr>
                <w:b/>
                <w:bCs/>
                <w:sz w:val="22"/>
                <w:szCs w:val="22"/>
              </w:rPr>
              <w:t>3.</w:t>
            </w:r>
            <w:r w:rsidRPr="009B0EA5">
              <w:rPr>
                <w:bCs/>
                <w:sz w:val="22"/>
                <w:szCs w:val="22"/>
              </w:rPr>
              <w:t xml:space="preserve">  İhale konusu alımın türüne göre Katma Değer Vergisi Mevzuatı gereğince Katma Değer Vergisi </w:t>
            </w:r>
            <w:proofErr w:type="spellStart"/>
            <w:r w:rsidRPr="009B0EA5">
              <w:rPr>
                <w:bCs/>
                <w:sz w:val="22"/>
                <w:szCs w:val="22"/>
              </w:rPr>
              <w:t>Tevkifatının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yapılması.    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b/>
                <w:sz w:val="22"/>
                <w:szCs w:val="22"/>
                <w:lang w:eastAsia="zh-CN"/>
              </w:rPr>
              <w:t>4.</w:t>
            </w:r>
            <w:r w:rsidRPr="009B0EA5">
              <w:rPr>
                <w:rFonts w:eastAsia="SimSun"/>
                <w:i/>
                <w:sz w:val="22"/>
                <w:szCs w:val="22"/>
                <w:lang w:eastAsia="zh-CN"/>
              </w:rPr>
              <w:t xml:space="preserve"> İhale konusu alımın türüne göre Gelir Vergisi Kanununda belirtilen oranda </w:t>
            </w: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Gelir Vergisi </w:t>
            </w:r>
            <w:proofErr w:type="spellStart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Tevkifatının</w:t>
            </w:r>
            <w:proofErr w:type="spellEnd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 yapılması. </w:t>
            </w:r>
          </w:p>
          <w:p w:rsidR="00726D0A" w:rsidRPr="009B0EA5" w:rsidRDefault="00726D0A" w:rsidP="00492DBD">
            <w:pPr>
              <w:spacing w:line="276" w:lineRule="auto"/>
              <w:ind w:left="22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b/>
                <w:sz w:val="22"/>
                <w:szCs w:val="22"/>
              </w:rPr>
              <w:t>5.</w:t>
            </w:r>
            <w:r w:rsidRPr="009B0EA5">
              <w:rPr>
                <w:sz w:val="22"/>
                <w:szCs w:val="22"/>
              </w:rPr>
              <w:t xml:space="preserve"> </w:t>
            </w:r>
            <w:r w:rsidR="00437C10">
              <w:rPr>
                <w:sz w:val="22"/>
                <w:szCs w:val="22"/>
              </w:rPr>
              <w:t>Tarım ve Orman Bakanlığı</w:t>
            </w:r>
            <w:r w:rsidRPr="009B0EA5">
              <w:rPr>
                <w:bCs/>
                <w:color w:val="000000"/>
                <w:sz w:val="22"/>
                <w:szCs w:val="22"/>
              </w:rPr>
              <w:t xml:space="preserve"> Ön Mali Kontrol İşlemleri Yönergesi gereği</w:t>
            </w:r>
            <w:r w:rsidRPr="009B0EA5">
              <w:rPr>
                <w:color w:val="000000"/>
                <w:sz w:val="22"/>
                <w:szCs w:val="22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imzalamadan önce istekli tarafından yatırılan damga vergisinin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imzalanmadan önce istekli tarafından yatırılan KİK payının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Kesin Teminata ilişkin alındının örneği,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>Yapım işlerinde sözleşmede öngörülmeyen iş artışının zorunlu hale gelmesi ve bu artışın müteahhidine yaptırılması halinde buna ilişkin onay belgesi ve yaklaşık maliyet hesa</w:t>
            </w:r>
            <w:r>
              <w:rPr>
                <w:color w:val="000000"/>
                <w:sz w:val="22"/>
                <w:szCs w:val="22"/>
              </w:rPr>
              <w:t xml:space="preserve">p cetveli ile ek kesin teminata </w:t>
            </w:r>
            <w:r w:rsidRPr="009B0EA5">
              <w:rPr>
                <w:color w:val="000000"/>
                <w:sz w:val="22"/>
                <w:szCs w:val="22"/>
              </w:rPr>
              <w:t xml:space="preserve">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pacing w:line="276" w:lineRule="auto"/>
              <w:ind w:left="22" w:firstLine="425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 xml:space="preserve">Sözleşmelerin devri halinde devir sözleşmesi. 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sz w:val="22"/>
                <w:szCs w:val="22"/>
                <w:lang w:eastAsia="zh-CN"/>
              </w:rPr>
              <w:t xml:space="preserve">    </w:t>
            </w:r>
            <w:r w:rsidRPr="009B0EA5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B-) ÖN MALİ KONTROL AŞAMASINDA DEĞERLENDİRME DIŞI BIRAKILAN HUSUSLAR</w:t>
            </w:r>
          </w:p>
          <w:p w:rsidR="00726D0A" w:rsidRPr="00020D1F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lang w:eastAsia="zh-CN"/>
              </w:rPr>
            </w:pP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Kontrole tabi tutulan ihalede, teknik bilgi gerektiren hususlarda inceleme yapılamamıştır.</w:t>
            </w:r>
            <w:r w:rsidRPr="00020D1F">
              <w:rPr>
                <w:rFonts w:eastAsia="SimSun"/>
                <w:bCs/>
                <w:highlight w:val="yellow"/>
                <w:lang w:eastAsia="zh-C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66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9"/>
        <w:gridCol w:w="4961"/>
      </w:tblGrid>
      <w:tr w:rsidR="00437C10" w:rsidRPr="00FD6625" w:rsidTr="00437C10">
        <w:trPr>
          <w:trHeight w:val="407"/>
        </w:trPr>
        <w:tc>
          <w:tcPr>
            <w:tcW w:w="5379" w:type="dxa"/>
            <w:shd w:val="clear" w:color="auto" w:fill="auto"/>
          </w:tcPr>
          <w:p w:rsidR="00437C10" w:rsidRPr="0099469D" w:rsidRDefault="00437C10" w:rsidP="002E0091">
            <w:pPr>
              <w:spacing w:before="60" w:after="60"/>
              <w:jc w:val="center"/>
              <w:rPr>
                <w:b/>
              </w:rPr>
            </w:pPr>
            <w:r w:rsidRPr="0099469D">
              <w:rPr>
                <w:b/>
              </w:rPr>
              <w:t>İNCELEYENLER</w:t>
            </w:r>
          </w:p>
        </w:tc>
        <w:tc>
          <w:tcPr>
            <w:tcW w:w="4961" w:type="dxa"/>
            <w:shd w:val="clear" w:color="auto" w:fill="auto"/>
          </w:tcPr>
          <w:p w:rsidR="00437C10" w:rsidRPr="0099469D" w:rsidRDefault="00437C10" w:rsidP="002E0091">
            <w:pPr>
              <w:spacing w:before="60" w:after="60"/>
              <w:jc w:val="center"/>
              <w:rPr>
                <w:b/>
              </w:rPr>
            </w:pPr>
            <w:r w:rsidRPr="0099469D">
              <w:rPr>
                <w:b/>
              </w:rPr>
              <w:t>KONTROL EDEN/ ONAYLAYAN</w:t>
            </w:r>
          </w:p>
        </w:tc>
      </w:tr>
      <w:tr w:rsidR="00437C10" w:rsidRPr="00FD6625" w:rsidTr="00437C10">
        <w:trPr>
          <w:trHeight w:val="443"/>
        </w:trPr>
        <w:tc>
          <w:tcPr>
            <w:tcW w:w="5379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</w:tr>
      <w:tr w:rsidR="00437C10" w:rsidRPr="00FD6625" w:rsidTr="00437C10">
        <w:trPr>
          <w:trHeight w:val="371"/>
        </w:trPr>
        <w:tc>
          <w:tcPr>
            <w:tcW w:w="5379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</w:pPr>
          </w:p>
        </w:tc>
        <w:tc>
          <w:tcPr>
            <w:tcW w:w="4961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</w:pPr>
          </w:p>
        </w:tc>
      </w:tr>
      <w:tr w:rsidR="00437C10" w:rsidRPr="00FD6625" w:rsidTr="00437C10">
        <w:trPr>
          <w:trHeight w:val="454"/>
        </w:trPr>
        <w:tc>
          <w:tcPr>
            <w:tcW w:w="5379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</w:tr>
      <w:tr w:rsidR="00437C10" w:rsidRPr="00FD6625" w:rsidTr="00437C10">
        <w:trPr>
          <w:trHeight w:val="454"/>
        </w:trPr>
        <w:tc>
          <w:tcPr>
            <w:tcW w:w="5379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37C10" w:rsidRPr="00FD6625" w:rsidRDefault="00437C10" w:rsidP="002E0091">
            <w:pPr>
              <w:spacing w:before="60" w:after="60"/>
              <w:jc w:val="center"/>
            </w:pP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492DBD">
      <w:headerReference w:type="default" r:id="rId8"/>
      <w:footerReference w:type="default" r:id="rId9"/>
      <w:pgSz w:w="11906" w:h="16838"/>
      <w:pgMar w:top="180" w:right="1106" w:bottom="851" w:left="1106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F2" w:rsidRDefault="007D01F2">
      <w:r>
        <w:separator/>
      </w:r>
    </w:p>
  </w:endnote>
  <w:endnote w:type="continuationSeparator" w:id="0">
    <w:p w:rsidR="007D01F2" w:rsidRDefault="007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97" w:rsidRPr="00F76828" w:rsidRDefault="00494B13" w:rsidP="00176BD7">
    <w:pPr>
      <w:pStyle w:val="AltBilgi"/>
      <w:jc w:val="both"/>
      <w:rPr>
        <w:color w:val="FF0000"/>
        <w:sz w:val="22"/>
        <w:u w:val="single"/>
        <w:lang w:val="tr-TR"/>
      </w:rPr>
    </w:pPr>
    <w:r w:rsidRPr="00F76828">
      <w:rPr>
        <w:color w:val="FF0000"/>
        <w:sz w:val="22"/>
        <w:u w:val="single"/>
        <w:lang w:val="tr-TR"/>
      </w:rPr>
      <w:t>Not: Bu Form Sadece Strateji Geliştirme Başkanlığı Mali Yönetim Daire Başkanlığınca Kullanılacaktır.</w:t>
    </w:r>
  </w:p>
  <w:p w:rsidR="00F76828" w:rsidRDefault="00F768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F2" w:rsidRDefault="007D01F2">
      <w:r>
        <w:separator/>
      </w:r>
    </w:p>
  </w:footnote>
  <w:footnote w:type="continuationSeparator" w:id="0">
    <w:p w:rsidR="007D01F2" w:rsidRDefault="007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38"/>
      <w:gridCol w:w="4820"/>
      <w:gridCol w:w="1417"/>
      <w:gridCol w:w="2239"/>
    </w:tblGrid>
    <w:tr w:rsidR="009B318D" w:rsidTr="009965A7">
      <w:trPr>
        <w:trHeight w:val="283"/>
      </w:trPr>
      <w:tc>
        <w:tcPr>
          <w:tcW w:w="1838" w:type="dxa"/>
          <w:vMerge w:val="restart"/>
        </w:tcPr>
        <w:p w:rsidR="009B318D" w:rsidRDefault="00251AF4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046BCE7" wp14:editId="0CE32A1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9B318D" w:rsidRDefault="00492DBD" w:rsidP="00492DBD">
          <w:pPr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9B318D" w:rsidRPr="002B36A3" w:rsidRDefault="000F5712" w:rsidP="00492DBD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>Ön Mali Kontrol Rapor Formu</w:t>
          </w:r>
        </w:p>
        <w:p w:rsidR="009B318D" w:rsidRDefault="009B318D" w:rsidP="00492DBD">
          <w:pPr>
            <w:spacing w:line="276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061EEA" w:rsidRDefault="009B318D" w:rsidP="009965A7">
          <w:pPr>
            <w:rPr>
              <w:sz w:val="18"/>
              <w:szCs w:val="18"/>
              <w:lang w:eastAsia="en-US"/>
            </w:rPr>
          </w:pPr>
          <w:r w:rsidRPr="00061EEA">
            <w:rPr>
              <w:sz w:val="18"/>
              <w:szCs w:val="18"/>
              <w:lang w:eastAsia="en-US"/>
            </w:rPr>
            <w:t xml:space="preserve">Dokuman </w:t>
          </w:r>
          <w:r w:rsidR="00AC1805" w:rsidRPr="00061EEA">
            <w:rPr>
              <w:sz w:val="18"/>
              <w:szCs w:val="18"/>
              <w:lang w:eastAsia="en-US"/>
            </w:rPr>
            <w:t>Kodu</w:t>
          </w:r>
        </w:p>
      </w:tc>
      <w:tc>
        <w:tcPr>
          <w:tcW w:w="2239" w:type="dxa"/>
          <w:vAlign w:val="center"/>
        </w:tcPr>
        <w:p w:rsidR="009B318D" w:rsidRPr="00061EEA" w:rsidRDefault="00CF63BE" w:rsidP="009965A7">
          <w:pPr>
            <w:pStyle w:val="stBilgi"/>
            <w:ind w:right="-106"/>
            <w:rPr>
              <w:sz w:val="18"/>
              <w:szCs w:val="18"/>
              <w:lang w:eastAsia="en-US"/>
            </w:rPr>
          </w:pPr>
          <w:proofErr w:type="gramStart"/>
          <w:r w:rsidRPr="00061EEA">
            <w:rPr>
              <w:sz w:val="18"/>
              <w:szCs w:val="18"/>
              <w:lang w:eastAsia="en-US"/>
            </w:rPr>
            <w:t>TOB</w:t>
          </w:r>
          <w:r w:rsidR="00A6672A" w:rsidRPr="00061EEA">
            <w:rPr>
              <w:sz w:val="18"/>
              <w:szCs w:val="18"/>
              <w:lang w:eastAsia="en-US"/>
            </w:rPr>
            <w:t>.İKS</w:t>
          </w:r>
          <w:proofErr w:type="gramEnd"/>
          <w:r w:rsidR="00A6672A" w:rsidRPr="00061EEA">
            <w:rPr>
              <w:sz w:val="18"/>
              <w:szCs w:val="18"/>
              <w:lang w:eastAsia="en-US"/>
            </w:rPr>
            <w:t>./KYS.FRM.024</w:t>
          </w:r>
        </w:p>
      </w:tc>
    </w:tr>
    <w:tr w:rsidR="00CF63BE" w:rsidTr="009965A7">
      <w:trPr>
        <w:trHeight w:val="283"/>
      </w:trPr>
      <w:tc>
        <w:tcPr>
          <w:tcW w:w="1838" w:type="dxa"/>
          <w:vMerge/>
          <w:vAlign w:val="center"/>
        </w:tcPr>
        <w:p w:rsidR="00CF63BE" w:rsidRDefault="00CF63BE" w:rsidP="00CF63BE">
          <w:pPr>
            <w:rPr>
              <w:noProof/>
              <w:lang w:eastAsia="en-US"/>
            </w:rPr>
          </w:pPr>
        </w:p>
      </w:tc>
      <w:tc>
        <w:tcPr>
          <w:tcW w:w="4820" w:type="dxa"/>
          <w:vMerge/>
          <w:vAlign w:val="center"/>
        </w:tcPr>
        <w:p w:rsidR="00CF63BE" w:rsidRDefault="00CF63BE" w:rsidP="00CF63BE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CF63BE" w:rsidRDefault="00CF63BE" w:rsidP="009965A7">
          <w:pPr>
            <w:pStyle w:val="stBilgi"/>
            <w:rPr>
              <w:sz w:val="18"/>
              <w:szCs w:val="18"/>
              <w:lang w:eastAsia="en-US"/>
            </w:rPr>
          </w:pPr>
          <w:r w:rsidRPr="00061EEA">
            <w:rPr>
              <w:sz w:val="18"/>
              <w:szCs w:val="18"/>
              <w:lang w:eastAsia="en-US"/>
            </w:rPr>
            <w:t>Revizyon No</w:t>
          </w:r>
        </w:p>
      </w:tc>
      <w:tc>
        <w:tcPr>
          <w:tcW w:w="2239" w:type="dxa"/>
          <w:vAlign w:val="center"/>
        </w:tcPr>
        <w:p w:rsidR="00CF63BE" w:rsidRPr="00061EEA" w:rsidRDefault="00061EEA" w:rsidP="009965A7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002</w:t>
          </w:r>
        </w:p>
      </w:tc>
    </w:tr>
    <w:tr w:rsidR="00323239" w:rsidTr="009965A7">
      <w:trPr>
        <w:trHeight w:val="283"/>
      </w:trPr>
      <w:tc>
        <w:tcPr>
          <w:tcW w:w="1838" w:type="dxa"/>
          <w:vMerge/>
          <w:vAlign w:val="center"/>
        </w:tcPr>
        <w:p w:rsidR="00323239" w:rsidRDefault="00323239" w:rsidP="00323239">
          <w:pPr>
            <w:rPr>
              <w:noProof/>
              <w:lang w:eastAsia="en-US"/>
            </w:rPr>
          </w:pPr>
        </w:p>
      </w:tc>
      <w:tc>
        <w:tcPr>
          <w:tcW w:w="4820" w:type="dxa"/>
          <w:vMerge/>
          <w:vAlign w:val="center"/>
        </w:tcPr>
        <w:p w:rsidR="00323239" w:rsidRDefault="00323239" w:rsidP="00323239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23239" w:rsidRDefault="00323239" w:rsidP="009965A7">
          <w:pPr>
            <w:pStyle w:val="stBilgi"/>
            <w:rPr>
              <w:sz w:val="18"/>
              <w:szCs w:val="18"/>
              <w:lang w:eastAsia="en-US"/>
            </w:rPr>
          </w:pPr>
          <w:r w:rsidRPr="00061EEA">
            <w:rPr>
              <w:sz w:val="18"/>
              <w:szCs w:val="18"/>
              <w:lang w:eastAsia="en-US"/>
            </w:rPr>
            <w:t>Revizyon Tarihi</w:t>
          </w:r>
        </w:p>
      </w:tc>
      <w:tc>
        <w:tcPr>
          <w:tcW w:w="2239" w:type="dxa"/>
          <w:vAlign w:val="center"/>
        </w:tcPr>
        <w:p w:rsidR="00323239" w:rsidRPr="00061EEA" w:rsidRDefault="0010426F" w:rsidP="0010426F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08</w:t>
          </w:r>
          <w:r w:rsidR="00061EEA">
            <w:rPr>
              <w:sz w:val="18"/>
              <w:szCs w:val="18"/>
              <w:lang w:eastAsia="en-US"/>
            </w:rPr>
            <w:t>.06.2023</w:t>
          </w:r>
        </w:p>
      </w:tc>
    </w:tr>
    <w:tr w:rsidR="00323239" w:rsidTr="009965A7">
      <w:trPr>
        <w:trHeight w:val="283"/>
      </w:trPr>
      <w:tc>
        <w:tcPr>
          <w:tcW w:w="1838" w:type="dxa"/>
          <w:vMerge/>
          <w:vAlign w:val="center"/>
        </w:tcPr>
        <w:p w:rsidR="00323239" w:rsidRDefault="00323239" w:rsidP="00323239">
          <w:pPr>
            <w:rPr>
              <w:noProof/>
              <w:lang w:eastAsia="en-US"/>
            </w:rPr>
          </w:pPr>
        </w:p>
      </w:tc>
      <w:tc>
        <w:tcPr>
          <w:tcW w:w="4820" w:type="dxa"/>
          <w:vMerge/>
          <w:vAlign w:val="center"/>
        </w:tcPr>
        <w:p w:rsidR="00323239" w:rsidRDefault="00323239" w:rsidP="00323239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23239" w:rsidRDefault="00323239" w:rsidP="009965A7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239" w:type="dxa"/>
          <w:vAlign w:val="center"/>
        </w:tcPr>
        <w:p w:rsidR="00323239" w:rsidRPr="00061EEA" w:rsidRDefault="0010426F" w:rsidP="009965A7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08</w:t>
          </w:r>
          <w:r w:rsidR="00061EEA">
            <w:rPr>
              <w:sz w:val="18"/>
              <w:szCs w:val="18"/>
              <w:lang w:eastAsia="en-US"/>
            </w:rPr>
            <w:t>.06.2023</w:t>
          </w:r>
        </w:p>
      </w:tc>
    </w:tr>
    <w:tr w:rsidR="009B318D" w:rsidTr="009965A7">
      <w:trPr>
        <w:trHeight w:val="283"/>
      </w:trPr>
      <w:tc>
        <w:tcPr>
          <w:tcW w:w="1838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4820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9B318D" w:rsidRDefault="009B318D" w:rsidP="009965A7">
          <w:pPr>
            <w:pStyle w:val="stBilgi"/>
            <w:rPr>
              <w:sz w:val="18"/>
              <w:szCs w:val="18"/>
              <w:lang w:eastAsia="en-US"/>
            </w:rPr>
          </w:pPr>
          <w:r w:rsidRPr="009B318D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239" w:type="dxa"/>
          <w:vAlign w:val="center"/>
        </w:tcPr>
        <w:p w:rsidR="009B318D" w:rsidRPr="00061EEA" w:rsidRDefault="009B318D" w:rsidP="009965A7">
          <w:pPr>
            <w:pStyle w:val="stBilgi"/>
            <w:rPr>
              <w:sz w:val="18"/>
              <w:szCs w:val="18"/>
              <w:lang w:eastAsia="en-US"/>
            </w:rPr>
          </w:pPr>
          <w:r w:rsidRPr="00061EEA">
            <w:rPr>
              <w:sz w:val="18"/>
              <w:szCs w:val="18"/>
              <w:lang w:eastAsia="en-US"/>
            </w:rPr>
            <w:fldChar w:fldCharType="begin"/>
          </w:r>
          <w:r w:rsidRPr="00061EEA">
            <w:rPr>
              <w:sz w:val="18"/>
              <w:szCs w:val="18"/>
              <w:lang w:eastAsia="en-US"/>
            </w:rPr>
            <w:instrText>PAGE  \* Arabic  \* MERGEFORMAT</w:instrText>
          </w:r>
          <w:r w:rsidRPr="00061EEA">
            <w:rPr>
              <w:sz w:val="18"/>
              <w:szCs w:val="18"/>
              <w:lang w:eastAsia="en-US"/>
            </w:rPr>
            <w:fldChar w:fldCharType="separate"/>
          </w:r>
          <w:r w:rsidR="0010426F">
            <w:rPr>
              <w:noProof/>
              <w:sz w:val="18"/>
              <w:szCs w:val="18"/>
              <w:lang w:eastAsia="en-US"/>
            </w:rPr>
            <w:t>2</w:t>
          </w:r>
          <w:r w:rsidRPr="00061EEA">
            <w:rPr>
              <w:sz w:val="18"/>
              <w:szCs w:val="18"/>
              <w:lang w:eastAsia="en-US"/>
            </w:rPr>
            <w:fldChar w:fldCharType="end"/>
          </w:r>
          <w:r w:rsidRPr="00061EEA">
            <w:rPr>
              <w:sz w:val="18"/>
              <w:szCs w:val="18"/>
              <w:lang w:eastAsia="en-US"/>
            </w:rPr>
            <w:t xml:space="preserve"> / </w:t>
          </w:r>
          <w:r w:rsidRPr="00061EEA">
            <w:rPr>
              <w:sz w:val="18"/>
              <w:szCs w:val="18"/>
              <w:lang w:eastAsia="en-US"/>
            </w:rPr>
            <w:fldChar w:fldCharType="begin"/>
          </w:r>
          <w:r w:rsidRPr="00061EEA">
            <w:rPr>
              <w:sz w:val="18"/>
              <w:szCs w:val="18"/>
              <w:lang w:eastAsia="en-US"/>
            </w:rPr>
            <w:instrText>NUMPAGES  \* Arabic  \* MERGEFORMAT</w:instrText>
          </w:r>
          <w:r w:rsidRPr="00061EEA">
            <w:rPr>
              <w:sz w:val="18"/>
              <w:szCs w:val="18"/>
              <w:lang w:eastAsia="en-US"/>
            </w:rPr>
            <w:fldChar w:fldCharType="separate"/>
          </w:r>
          <w:r w:rsidR="0010426F">
            <w:rPr>
              <w:noProof/>
              <w:sz w:val="18"/>
              <w:szCs w:val="18"/>
              <w:lang w:eastAsia="en-US"/>
            </w:rPr>
            <w:t>2</w:t>
          </w:r>
          <w:r w:rsidRPr="00061EEA">
            <w:rPr>
              <w:sz w:val="18"/>
              <w:szCs w:val="18"/>
              <w:lang w:eastAsia="en-US"/>
            </w:rPr>
            <w:fldChar w:fldCharType="end"/>
          </w:r>
        </w:p>
      </w:tc>
    </w:tr>
  </w:tbl>
  <w:p w:rsidR="00214781" w:rsidRPr="002B36A3" w:rsidRDefault="00492DBD" w:rsidP="00492DBD">
    <w:pPr>
      <w:tabs>
        <w:tab w:val="left" w:pos="5955"/>
      </w:tabs>
      <w:rPr>
        <w:b/>
        <w:bCs/>
      </w:rPr>
    </w:pP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6D1A53"/>
    <w:multiLevelType w:val="hybridMultilevel"/>
    <w:tmpl w:val="D6ECA822"/>
    <w:lvl w:ilvl="0" w:tplc="BBAAEAF6">
      <w:start w:val="1"/>
      <w:numFmt w:val="lowerLetter"/>
      <w:lvlText w:val="%1)"/>
      <w:lvlJc w:val="left"/>
      <w:pPr>
        <w:ind w:left="720" w:hanging="360"/>
      </w:pPr>
      <w:rPr>
        <w:rFonts w:ascii="TimesNewRomanPSMT" w:eastAsia="Times New Roman" w:hAnsi="TimesNewRomanPSMT" w:cs="TimesNewRomanPSM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9" w15:restartNumberingAfterBreak="0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9"/>
    <w:rsid w:val="00020D1F"/>
    <w:rsid w:val="00024157"/>
    <w:rsid w:val="00025CD5"/>
    <w:rsid w:val="00030603"/>
    <w:rsid w:val="00041892"/>
    <w:rsid w:val="000611D9"/>
    <w:rsid w:val="00061EEA"/>
    <w:rsid w:val="00062492"/>
    <w:rsid w:val="000B4052"/>
    <w:rsid w:val="000D46A9"/>
    <w:rsid w:val="000E5F2A"/>
    <w:rsid w:val="000F5712"/>
    <w:rsid w:val="00102BAA"/>
    <w:rsid w:val="0010426F"/>
    <w:rsid w:val="0010431A"/>
    <w:rsid w:val="0010503D"/>
    <w:rsid w:val="00176BD7"/>
    <w:rsid w:val="001951AA"/>
    <w:rsid w:val="001B08B0"/>
    <w:rsid w:val="001C21A1"/>
    <w:rsid w:val="00214781"/>
    <w:rsid w:val="00215B40"/>
    <w:rsid w:val="002302E1"/>
    <w:rsid w:val="00251AF4"/>
    <w:rsid w:val="002659D0"/>
    <w:rsid w:val="002B36A3"/>
    <w:rsid w:val="002C0E1C"/>
    <w:rsid w:val="002D4E5C"/>
    <w:rsid w:val="002F6A6F"/>
    <w:rsid w:val="00305C4D"/>
    <w:rsid w:val="00323239"/>
    <w:rsid w:val="003242BA"/>
    <w:rsid w:val="00324AF8"/>
    <w:rsid w:val="00332B87"/>
    <w:rsid w:val="00336155"/>
    <w:rsid w:val="003406EA"/>
    <w:rsid w:val="00361968"/>
    <w:rsid w:val="00365AC4"/>
    <w:rsid w:val="0037772D"/>
    <w:rsid w:val="00384558"/>
    <w:rsid w:val="00390B4F"/>
    <w:rsid w:val="00394C97"/>
    <w:rsid w:val="00397579"/>
    <w:rsid w:val="003B5BC7"/>
    <w:rsid w:val="003C52CF"/>
    <w:rsid w:val="003D7A31"/>
    <w:rsid w:val="003E115A"/>
    <w:rsid w:val="003E62FC"/>
    <w:rsid w:val="003F0765"/>
    <w:rsid w:val="0042139E"/>
    <w:rsid w:val="00437C10"/>
    <w:rsid w:val="00442412"/>
    <w:rsid w:val="00467038"/>
    <w:rsid w:val="00477078"/>
    <w:rsid w:val="00487659"/>
    <w:rsid w:val="00492DBD"/>
    <w:rsid w:val="0049361B"/>
    <w:rsid w:val="00494B13"/>
    <w:rsid w:val="00494DB0"/>
    <w:rsid w:val="004B4F1B"/>
    <w:rsid w:val="004C16CF"/>
    <w:rsid w:val="004C5B5E"/>
    <w:rsid w:val="004F15AE"/>
    <w:rsid w:val="00502C0B"/>
    <w:rsid w:val="00571C52"/>
    <w:rsid w:val="00597025"/>
    <w:rsid w:val="005E34AB"/>
    <w:rsid w:val="005E67D9"/>
    <w:rsid w:val="00625D45"/>
    <w:rsid w:val="00634621"/>
    <w:rsid w:val="00655372"/>
    <w:rsid w:val="006571D5"/>
    <w:rsid w:val="0065744D"/>
    <w:rsid w:val="006578D9"/>
    <w:rsid w:val="00666A7A"/>
    <w:rsid w:val="0067705D"/>
    <w:rsid w:val="00692619"/>
    <w:rsid w:val="006933B0"/>
    <w:rsid w:val="006A073E"/>
    <w:rsid w:val="006B6E29"/>
    <w:rsid w:val="006F38BF"/>
    <w:rsid w:val="00717DC1"/>
    <w:rsid w:val="00726D0A"/>
    <w:rsid w:val="007272DB"/>
    <w:rsid w:val="00732669"/>
    <w:rsid w:val="00736123"/>
    <w:rsid w:val="007554D7"/>
    <w:rsid w:val="007849F2"/>
    <w:rsid w:val="0079209B"/>
    <w:rsid w:val="007B319C"/>
    <w:rsid w:val="007D01F2"/>
    <w:rsid w:val="007D3B06"/>
    <w:rsid w:val="007F5EAA"/>
    <w:rsid w:val="0080759E"/>
    <w:rsid w:val="0081175B"/>
    <w:rsid w:val="008207D4"/>
    <w:rsid w:val="00833954"/>
    <w:rsid w:val="00837999"/>
    <w:rsid w:val="00862D1D"/>
    <w:rsid w:val="008B1CA6"/>
    <w:rsid w:val="008C4543"/>
    <w:rsid w:val="008C6B5C"/>
    <w:rsid w:val="008D4BBA"/>
    <w:rsid w:val="008E1580"/>
    <w:rsid w:val="008E6BBD"/>
    <w:rsid w:val="008F3081"/>
    <w:rsid w:val="008F70E5"/>
    <w:rsid w:val="008F7E99"/>
    <w:rsid w:val="009126A9"/>
    <w:rsid w:val="00931FC4"/>
    <w:rsid w:val="00932789"/>
    <w:rsid w:val="00934E90"/>
    <w:rsid w:val="009366BD"/>
    <w:rsid w:val="009574AF"/>
    <w:rsid w:val="00962D9B"/>
    <w:rsid w:val="00965F84"/>
    <w:rsid w:val="00987E7F"/>
    <w:rsid w:val="0099469D"/>
    <w:rsid w:val="00994C7A"/>
    <w:rsid w:val="009956AA"/>
    <w:rsid w:val="0099571E"/>
    <w:rsid w:val="009965A7"/>
    <w:rsid w:val="00996CE4"/>
    <w:rsid w:val="009A2793"/>
    <w:rsid w:val="009A564B"/>
    <w:rsid w:val="009B0EA5"/>
    <w:rsid w:val="009B318D"/>
    <w:rsid w:val="009B7A80"/>
    <w:rsid w:val="009C087E"/>
    <w:rsid w:val="009C1CDC"/>
    <w:rsid w:val="009D277B"/>
    <w:rsid w:val="009E5030"/>
    <w:rsid w:val="009E5F85"/>
    <w:rsid w:val="009F08F4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C1805"/>
    <w:rsid w:val="00AF34B4"/>
    <w:rsid w:val="00B03BCA"/>
    <w:rsid w:val="00B2683E"/>
    <w:rsid w:val="00B51F1A"/>
    <w:rsid w:val="00B52A36"/>
    <w:rsid w:val="00B71107"/>
    <w:rsid w:val="00B840DD"/>
    <w:rsid w:val="00BA4354"/>
    <w:rsid w:val="00BA7E14"/>
    <w:rsid w:val="00BF1742"/>
    <w:rsid w:val="00BF5E84"/>
    <w:rsid w:val="00BF6D8F"/>
    <w:rsid w:val="00C036E8"/>
    <w:rsid w:val="00C148DA"/>
    <w:rsid w:val="00C2573E"/>
    <w:rsid w:val="00C279CB"/>
    <w:rsid w:val="00C34ACE"/>
    <w:rsid w:val="00C42188"/>
    <w:rsid w:val="00C44EAE"/>
    <w:rsid w:val="00C543DE"/>
    <w:rsid w:val="00C61B68"/>
    <w:rsid w:val="00C61DE5"/>
    <w:rsid w:val="00C62B8D"/>
    <w:rsid w:val="00C77E31"/>
    <w:rsid w:val="00C855C0"/>
    <w:rsid w:val="00CD251E"/>
    <w:rsid w:val="00CD2AC0"/>
    <w:rsid w:val="00CE0DAB"/>
    <w:rsid w:val="00CE46DD"/>
    <w:rsid w:val="00CE61FD"/>
    <w:rsid w:val="00CE6EB3"/>
    <w:rsid w:val="00CF63BE"/>
    <w:rsid w:val="00D019FA"/>
    <w:rsid w:val="00D06B93"/>
    <w:rsid w:val="00D154B4"/>
    <w:rsid w:val="00D21E64"/>
    <w:rsid w:val="00D2734C"/>
    <w:rsid w:val="00D45420"/>
    <w:rsid w:val="00D45D2D"/>
    <w:rsid w:val="00D62FC5"/>
    <w:rsid w:val="00D75909"/>
    <w:rsid w:val="00D75DE9"/>
    <w:rsid w:val="00D82F99"/>
    <w:rsid w:val="00DB0E93"/>
    <w:rsid w:val="00DB565C"/>
    <w:rsid w:val="00DC7C06"/>
    <w:rsid w:val="00DD2052"/>
    <w:rsid w:val="00DD68D5"/>
    <w:rsid w:val="00DF5795"/>
    <w:rsid w:val="00E01587"/>
    <w:rsid w:val="00E2093F"/>
    <w:rsid w:val="00E40EFF"/>
    <w:rsid w:val="00E44046"/>
    <w:rsid w:val="00E568CA"/>
    <w:rsid w:val="00EA4DFD"/>
    <w:rsid w:val="00ED200B"/>
    <w:rsid w:val="00ED41F1"/>
    <w:rsid w:val="00EF0032"/>
    <w:rsid w:val="00F17A75"/>
    <w:rsid w:val="00F24188"/>
    <w:rsid w:val="00F73BAD"/>
    <w:rsid w:val="00F76828"/>
    <w:rsid w:val="00F774F6"/>
    <w:rsid w:val="00F81C91"/>
    <w:rsid w:val="00FA182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98BF8D"/>
  <w15:docId w15:val="{7C2A8A3F-6C1B-4AFF-B1A0-CB87765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  <w:style w:type="paragraph" w:customStyle="1" w:styleId="3-NormalYaz">
    <w:name w:val="3-Normal Yazı"/>
    <w:qFormat/>
    <w:rsid w:val="009B0EA5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sf544daea">
    <w:name w:val="s_f544daea"/>
    <w:basedOn w:val="VarsaylanParagrafYazTipi"/>
    <w:rsid w:val="00C1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2027-03-13T07:19:00+00:00</YayinBitisTarihi>
  </documentManagement>
</p:properties>
</file>

<file path=customXml/itemProps1.xml><?xml version="1.0" encoding="utf-8"?>
<ds:datastoreItem xmlns:ds="http://schemas.openxmlformats.org/officeDocument/2006/customXml" ds:itemID="{9E93BD26-3272-457A-99C0-D463801AD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C4097-C2A4-48FE-A389-9523833DFBC3}"/>
</file>

<file path=customXml/itemProps3.xml><?xml version="1.0" encoding="utf-8"?>
<ds:datastoreItem xmlns:ds="http://schemas.openxmlformats.org/officeDocument/2006/customXml" ds:itemID="{A31632CD-610D-4742-88E1-907ED99483AA}"/>
</file>

<file path=customXml/itemProps4.xml><?xml version="1.0" encoding="utf-8"?>
<ds:datastoreItem xmlns:ds="http://schemas.openxmlformats.org/officeDocument/2006/customXml" ds:itemID="{BAC1F4D7-23D8-4FD2-B66E-5E8576B3B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Adem SÖYLEMEZ</cp:lastModifiedBy>
  <cp:revision>16</cp:revision>
  <cp:lastPrinted>2023-06-02T07:26:00Z</cp:lastPrinted>
  <dcterms:created xsi:type="dcterms:W3CDTF">2023-06-02T08:06:00Z</dcterms:created>
  <dcterms:modified xsi:type="dcterms:W3CDTF">2023-06-06T17:43:00Z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